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3B05" w:rsidRDefault="00446879">
      <w:pPr>
        <w:spacing w:after="200"/>
      </w:pPr>
      <w:r>
        <w:rPr>
          <w:noProof/>
        </w:rPr>
        <w:drawing>
          <wp:inline distT="0" distB="0" distL="0" distR="0">
            <wp:extent cx="857250"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857250" cy="857250"/>
                    </a:xfrm>
                    <a:prstGeom prst="rect">
                      <a:avLst/>
                    </a:prstGeom>
                  </pic:spPr>
                </pic:pic>
              </a:graphicData>
            </a:graphic>
          </wp:inline>
        </w:drawing>
      </w:r>
    </w:p>
    <w:p w:rsidR="009C3B05" w:rsidRDefault="00446879">
      <w:pPr>
        <w:shd w:val="clear" w:color="auto" w:fill="691E78"/>
      </w:pPr>
      <w:r>
        <w:rPr>
          <w:b/>
          <w:bCs/>
          <w:color w:val="FFFFFF"/>
          <w:sz w:val="40"/>
          <w:szCs w:val="40"/>
        </w:rPr>
        <w:t xml:space="preserve">  Behaviour Change Practitioner</w:t>
      </w:r>
    </w:p>
    <w:p w:rsidR="009C3B05" w:rsidRDefault="00446879">
      <w:pPr>
        <w:shd w:val="clear" w:color="auto" w:fill="78A53C"/>
      </w:pPr>
      <w:r>
        <w:rPr>
          <w:color w:val="FFFFFF"/>
        </w:rPr>
        <w:t xml:space="preserve">  Job Description and Person Specification</w:t>
      </w:r>
    </w:p>
    <w:p w:rsidR="009C3B05" w:rsidRDefault="009C3B05">
      <w:pPr>
        <w:spacing w:after="2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6860"/>
      </w:tblGrid>
      <w:tr w:rsidR="009C3B05">
        <w:tblPrEx>
          <w:tblCellMar>
            <w:top w:w="0" w:type="dxa"/>
            <w:bottom w:w="0" w:type="dxa"/>
          </w:tblCellMar>
        </w:tblPrEx>
        <w:tc>
          <w:tcPr>
            <w:tcW w:w="2500" w:type="dxa"/>
            <w:tcBorders>
              <w:top w:val="single" w:sz="1" w:space="0" w:color="D5C0D8"/>
              <w:left w:val="single" w:sz="1" w:space="0" w:color="D5C0D8"/>
              <w:bottom w:val="single" w:sz="1" w:space="0" w:color="D5C0D8"/>
              <w:right w:val="single" w:sz="1" w:space="0" w:color="D5C0D8"/>
            </w:tcBorders>
            <w:shd w:val="clear" w:color="auto" w:fill="F5EDF7"/>
            <w:tcMar>
              <w:top w:w="80" w:type="dxa"/>
              <w:left w:w="120" w:type="dxa"/>
              <w:bottom w:w="80" w:type="dxa"/>
              <w:right w:w="120" w:type="dxa"/>
            </w:tcMar>
          </w:tcPr>
          <w:p w:rsidR="009C3B05" w:rsidRDefault="00446879">
            <w:r>
              <w:rPr>
                <w:b/>
                <w:bCs/>
                <w:color w:val="691E78"/>
                <w:sz w:val="21"/>
                <w:szCs w:val="21"/>
              </w:rPr>
              <w:t>Job Title</w:t>
            </w:r>
          </w:p>
        </w:tc>
        <w:tc>
          <w:tcPr>
            <w:tcW w:w="6860" w:type="dxa"/>
            <w:tcBorders>
              <w:top w:val="single" w:sz="1" w:space="0" w:color="D5C0D8"/>
              <w:left w:val="single" w:sz="1" w:space="0" w:color="D5C0D8"/>
              <w:bottom w:val="single" w:sz="1" w:space="0" w:color="D5C0D8"/>
              <w:right w:val="single" w:sz="1" w:space="0" w:color="D5C0D8"/>
            </w:tcBorders>
            <w:tcMar>
              <w:top w:w="80" w:type="dxa"/>
              <w:left w:w="120" w:type="dxa"/>
              <w:bottom w:w="80" w:type="dxa"/>
              <w:right w:w="120" w:type="dxa"/>
            </w:tcMar>
          </w:tcPr>
          <w:p w:rsidR="009C3B05" w:rsidRDefault="00446879">
            <w:r>
              <w:rPr>
                <w:sz w:val="21"/>
                <w:szCs w:val="21"/>
              </w:rPr>
              <w:t>Behaviour Change Practitioner</w:t>
            </w:r>
          </w:p>
        </w:tc>
      </w:tr>
      <w:tr w:rsidR="009C3B05">
        <w:tblPrEx>
          <w:tblCellMar>
            <w:top w:w="0" w:type="dxa"/>
            <w:bottom w:w="0" w:type="dxa"/>
          </w:tblCellMar>
        </w:tblPrEx>
        <w:tc>
          <w:tcPr>
            <w:tcW w:w="2500" w:type="dxa"/>
            <w:tcBorders>
              <w:top w:val="single" w:sz="1" w:space="0" w:color="D5C0D8"/>
              <w:left w:val="single" w:sz="1" w:space="0" w:color="D5C0D8"/>
              <w:bottom w:val="single" w:sz="1" w:space="0" w:color="D5C0D8"/>
              <w:right w:val="single" w:sz="1" w:space="0" w:color="D5C0D8"/>
            </w:tcBorders>
            <w:shd w:val="clear" w:color="auto" w:fill="F5EDF7"/>
            <w:tcMar>
              <w:top w:w="80" w:type="dxa"/>
              <w:left w:w="120" w:type="dxa"/>
              <w:bottom w:w="80" w:type="dxa"/>
              <w:right w:w="120" w:type="dxa"/>
            </w:tcMar>
          </w:tcPr>
          <w:p w:rsidR="009C3B05" w:rsidRDefault="00446879">
            <w:r>
              <w:rPr>
                <w:b/>
                <w:bCs/>
                <w:color w:val="691E78"/>
                <w:sz w:val="21"/>
                <w:szCs w:val="21"/>
              </w:rPr>
              <w:t>Posts Available</w:t>
            </w:r>
          </w:p>
        </w:tc>
        <w:tc>
          <w:tcPr>
            <w:tcW w:w="6860" w:type="dxa"/>
            <w:tcBorders>
              <w:top w:val="single" w:sz="1" w:space="0" w:color="D5C0D8"/>
              <w:left w:val="single" w:sz="1" w:space="0" w:color="D5C0D8"/>
              <w:bottom w:val="single" w:sz="1" w:space="0" w:color="D5C0D8"/>
              <w:right w:val="single" w:sz="1" w:space="0" w:color="D5C0D8"/>
            </w:tcBorders>
            <w:tcMar>
              <w:top w:w="80" w:type="dxa"/>
              <w:left w:w="120" w:type="dxa"/>
              <w:bottom w:w="80" w:type="dxa"/>
              <w:right w:w="120" w:type="dxa"/>
            </w:tcMar>
          </w:tcPr>
          <w:p w:rsidR="009C3B05" w:rsidRDefault="00446879">
            <w:r>
              <w:rPr>
                <w:sz w:val="21"/>
                <w:szCs w:val="21"/>
              </w:rPr>
              <w:t>x2 Full Time (35 hours per week)</w:t>
            </w:r>
          </w:p>
        </w:tc>
      </w:tr>
      <w:tr w:rsidR="009C3B05">
        <w:tblPrEx>
          <w:tblCellMar>
            <w:top w:w="0" w:type="dxa"/>
            <w:bottom w:w="0" w:type="dxa"/>
          </w:tblCellMar>
        </w:tblPrEx>
        <w:tc>
          <w:tcPr>
            <w:tcW w:w="2500" w:type="dxa"/>
            <w:tcBorders>
              <w:top w:val="single" w:sz="1" w:space="0" w:color="D5C0D8"/>
              <w:left w:val="single" w:sz="1" w:space="0" w:color="D5C0D8"/>
              <w:bottom w:val="single" w:sz="1" w:space="0" w:color="D5C0D8"/>
              <w:right w:val="single" w:sz="1" w:space="0" w:color="D5C0D8"/>
            </w:tcBorders>
            <w:shd w:val="clear" w:color="auto" w:fill="F5EDF7"/>
            <w:tcMar>
              <w:top w:w="80" w:type="dxa"/>
              <w:left w:w="120" w:type="dxa"/>
              <w:bottom w:w="80" w:type="dxa"/>
              <w:right w:w="120" w:type="dxa"/>
            </w:tcMar>
          </w:tcPr>
          <w:p w:rsidR="009C3B05" w:rsidRDefault="00446879">
            <w:r>
              <w:rPr>
                <w:b/>
                <w:bCs/>
                <w:color w:val="691E78"/>
                <w:sz w:val="21"/>
                <w:szCs w:val="21"/>
              </w:rPr>
              <w:t>Salary</w:t>
            </w:r>
          </w:p>
        </w:tc>
        <w:tc>
          <w:tcPr>
            <w:tcW w:w="6860" w:type="dxa"/>
            <w:tcBorders>
              <w:top w:val="single" w:sz="1" w:space="0" w:color="D5C0D8"/>
              <w:left w:val="single" w:sz="1" w:space="0" w:color="D5C0D8"/>
              <w:bottom w:val="single" w:sz="1" w:space="0" w:color="D5C0D8"/>
              <w:right w:val="single" w:sz="1" w:space="0" w:color="D5C0D8"/>
            </w:tcBorders>
            <w:tcMar>
              <w:top w:w="80" w:type="dxa"/>
              <w:left w:w="120" w:type="dxa"/>
              <w:bottom w:w="80" w:type="dxa"/>
              <w:right w:w="120" w:type="dxa"/>
            </w:tcMar>
          </w:tcPr>
          <w:p w:rsidR="009C3B05" w:rsidRDefault="00446879">
            <w:r>
              <w:rPr>
                <w:sz w:val="21"/>
                <w:szCs w:val="21"/>
              </w:rPr>
              <w:t>£16 per hour (£29,120 FTE)</w:t>
            </w:r>
          </w:p>
        </w:tc>
      </w:tr>
      <w:tr w:rsidR="009C3B05">
        <w:tblPrEx>
          <w:tblCellMar>
            <w:top w:w="0" w:type="dxa"/>
            <w:bottom w:w="0" w:type="dxa"/>
          </w:tblCellMar>
        </w:tblPrEx>
        <w:tc>
          <w:tcPr>
            <w:tcW w:w="2500" w:type="dxa"/>
            <w:tcBorders>
              <w:top w:val="single" w:sz="1" w:space="0" w:color="D5C0D8"/>
              <w:left w:val="single" w:sz="1" w:space="0" w:color="D5C0D8"/>
              <w:bottom w:val="single" w:sz="1" w:space="0" w:color="D5C0D8"/>
              <w:right w:val="single" w:sz="1" w:space="0" w:color="D5C0D8"/>
            </w:tcBorders>
            <w:shd w:val="clear" w:color="auto" w:fill="F5EDF7"/>
            <w:tcMar>
              <w:top w:w="80" w:type="dxa"/>
              <w:left w:w="120" w:type="dxa"/>
              <w:bottom w:w="80" w:type="dxa"/>
              <w:right w:w="120" w:type="dxa"/>
            </w:tcMar>
          </w:tcPr>
          <w:p w:rsidR="009C3B05" w:rsidRDefault="00446879">
            <w:r>
              <w:rPr>
                <w:b/>
                <w:bCs/>
                <w:color w:val="691E78"/>
                <w:sz w:val="21"/>
                <w:szCs w:val="21"/>
              </w:rPr>
              <w:t>Location</w:t>
            </w:r>
          </w:p>
        </w:tc>
        <w:tc>
          <w:tcPr>
            <w:tcW w:w="6860" w:type="dxa"/>
            <w:tcBorders>
              <w:top w:val="single" w:sz="1" w:space="0" w:color="D5C0D8"/>
              <w:left w:val="single" w:sz="1" w:space="0" w:color="D5C0D8"/>
              <w:bottom w:val="single" w:sz="1" w:space="0" w:color="D5C0D8"/>
              <w:right w:val="single" w:sz="1" w:space="0" w:color="D5C0D8"/>
            </w:tcBorders>
            <w:tcMar>
              <w:top w:w="80" w:type="dxa"/>
              <w:left w:w="120" w:type="dxa"/>
              <w:bottom w:w="80" w:type="dxa"/>
              <w:right w:w="120" w:type="dxa"/>
            </w:tcMar>
          </w:tcPr>
          <w:p w:rsidR="009C3B05" w:rsidRDefault="00446879">
            <w:r>
              <w:rPr>
                <w:sz w:val="21"/>
                <w:szCs w:val="21"/>
              </w:rPr>
              <w:t>Plymouth (face-to-face delivery — not a remote working role)</w:t>
            </w:r>
          </w:p>
        </w:tc>
      </w:tr>
      <w:tr w:rsidR="009C3B05">
        <w:tblPrEx>
          <w:tblCellMar>
            <w:top w:w="0" w:type="dxa"/>
            <w:bottom w:w="0" w:type="dxa"/>
          </w:tblCellMar>
        </w:tblPrEx>
        <w:tc>
          <w:tcPr>
            <w:tcW w:w="2500" w:type="dxa"/>
            <w:tcBorders>
              <w:top w:val="single" w:sz="1" w:space="0" w:color="D5C0D8"/>
              <w:left w:val="single" w:sz="1" w:space="0" w:color="D5C0D8"/>
              <w:bottom w:val="single" w:sz="1" w:space="0" w:color="D5C0D8"/>
              <w:right w:val="single" w:sz="1" w:space="0" w:color="D5C0D8"/>
            </w:tcBorders>
            <w:shd w:val="clear" w:color="auto" w:fill="F5EDF7"/>
            <w:tcMar>
              <w:top w:w="80" w:type="dxa"/>
              <w:left w:w="120" w:type="dxa"/>
              <w:bottom w:w="80" w:type="dxa"/>
              <w:right w:w="120" w:type="dxa"/>
            </w:tcMar>
          </w:tcPr>
          <w:p w:rsidR="009C3B05" w:rsidRDefault="00446879">
            <w:r>
              <w:rPr>
                <w:b/>
                <w:bCs/>
                <w:color w:val="691E78"/>
                <w:sz w:val="21"/>
                <w:szCs w:val="21"/>
              </w:rPr>
              <w:t>Contract</w:t>
            </w:r>
          </w:p>
        </w:tc>
        <w:tc>
          <w:tcPr>
            <w:tcW w:w="6860" w:type="dxa"/>
            <w:tcBorders>
              <w:top w:val="single" w:sz="1" w:space="0" w:color="D5C0D8"/>
              <w:left w:val="single" w:sz="1" w:space="0" w:color="D5C0D8"/>
              <w:bottom w:val="single" w:sz="1" w:space="0" w:color="D5C0D8"/>
              <w:right w:val="single" w:sz="1" w:space="0" w:color="D5C0D8"/>
            </w:tcBorders>
            <w:tcMar>
              <w:top w:w="80" w:type="dxa"/>
              <w:left w:w="120" w:type="dxa"/>
              <w:bottom w:w="80" w:type="dxa"/>
              <w:right w:w="120" w:type="dxa"/>
            </w:tcMar>
          </w:tcPr>
          <w:p w:rsidR="009C3B05" w:rsidRDefault="00446879">
            <w:r>
              <w:rPr>
                <w:sz w:val="21"/>
                <w:szCs w:val="21"/>
              </w:rPr>
              <w:t>2 years (see funding note below)</w:t>
            </w:r>
          </w:p>
        </w:tc>
      </w:tr>
      <w:tr w:rsidR="009C3B05">
        <w:tblPrEx>
          <w:tblCellMar>
            <w:top w:w="0" w:type="dxa"/>
            <w:bottom w:w="0" w:type="dxa"/>
          </w:tblCellMar>
        </w:tblPrEx>
        <w:tc>
          <w:tcPr>
            <w:tcW w:w="2500" w:type="dxa"/>
            <w:tcBorders>
              <w:top w:val="single" w:sz="1" w:space="0" w:color="D5C0D8"/>
              <w:left w:val="single" w:sz="1" w:space="0" w:color="D5C0D8"/>
              <w:bottom w:val="single" w:sz="1" w:space="0" w:color="D5C0D8"/>
              <w:right w:val="single" w:sz="1" w:space="0" w:color="D5C0D8"/>
            </w:tcBorders>
            <w:shd w:val="clear" w:color="auto" w:fill="F5EDF7"/>
            <w:tcMar>
              <w:top w:w="80" w:type="dxa"/>
              <w:left w:w="120" w:type="dxa"/>
              <w:bottom w:w="80" w:type="dxa"/>
              <w:right w:w="120" w:type="dxa"/>
            </w:tcMar>
          </w:tcPr>
          <w:p w:rsidR="009C3B05" w:rsidRDefault="00446879">
            <w:r>
              <w:rPr>
                <w:b/>
                <w:bCs/>
                <w:color w:val="691E78"/>
                <w:sz w:val="21"/>
                <w:szCs w:val="21"/>
              </w:rPr>
              <w:t>Closing Date</w:t>
            </w:r>
          </w:p>
        </w:tc>
        <w:tc>
          <w:tcPr>
            <w:tcW w:w="6860" w:type="dxa"/>
            <w:tcBorders>
              <w:top w:val="single" w:sz="1" w:space="0" w:color="D5C0D8"/>
              <w:left w:val="single" w:sz="1" w:space="0" w:color="D5C0D8"/>
              <w:bottom w:val="single" w:sz="1" w:space="0" w:color="D5C0D8"/>
              <w:right w:val="single" w:sz="1" w:space="0" w:color="D5C0D8"/>
            </w:tcBorders>
            <w:tcMar>
              <w:top w:w="80" w:type="dxa"/>
              <w:left w:w="120" w:type="dxa"/>
              <w:bottom w:w="80" w:type="dxa"/>
              <w:right w:w="120" w:type="dxa"/>
            </w:tcMar>
          </w:tcPr>
          <w:p w:rsidR="009C3B05" w:rsidRDefault="00446879">
            <w:r>
              <w:rPr>
                <w:sz w:val="21"/>
                <w:szCs w:val="21"/>
              </w:rPr>
              <w:t>12 noon, Thursday 26th March 2026</w:t>
            </w:r>
          </w:p>
        </w:tc>
      </w:tr>
      <w:tr w:rsidR="009C3B05">
        <w:tblPrEx>
          <w:tblCellMar>
            <w:top w:w="0" w:type="dxa"/>
            <w:bottom w:w="0" w:type="dxa"/>
          </w:tblCellMar>
        </w:tblPrEx>
        <w:tc>
          <w:tcPr>
            <w:tcW w:w="2500" w:type="dxa"/>
            <w:tcBorders>
              <w:top w:val="single" w:sz="1" w:space="0" w:color="D5C0D8"/>
              <w:left w:val="single" w:sz="1" w:space="0" w:color="D5C0D8"/>
              <w:bottom w:val="single" w:sz="1" w:space="0" w:color="D5C0D8"/>
              <w:right w:val="single" w:sz="1" w:space="0" w:color="D5C0D8"/>
            </w:tcBorders>
            <w:shd w:val="clear" w:color="auto" w:fill="F5EDF7"/>
            <w:tcMar>
              <w:top w:w="80" w:type="dxa"/>
              <w:left w:w="120" w:type="dxa"/>
              <w:bottom w:w="80" w:type="dxa"/>
              <w:right w:w="120" w:type="dxa"/>
            </w:tcMar>
          </w:tcPr>
          <w:p w:rsidR="009C3B05" w:rsidRDefault="00446879">
            <w:r>
              <w:rPr>
                <w:b/>
                <w:bCs/>
                <w:color w:val="691E78"/>
                <w:sz w:val="21"/>
                <w:szCs w:val="21"/>
              </w:rPr>
              <w:t>Applications to</w:t>
            </w:r>
          </w:p>
        </w:tc>
        <w:tc>
          <w:tcPr>
            <w:tcW w:w="6860" w:type="dxa"/>
            <w:tcBorders>
              <w:top w:val="single" w:sz="1" w:space="0" w:color="D5C0D8"/>
              <w:left w:val="single" w:sz="1" w:space="0" w:color="D5C0D8"/>
              <w:bottom w:val="single" w:sz="1" w:space="0" w:color="D5C0D8"/>
              <w:right w:val="single" w:sz="1" w:space="0" w:color="D5C0D8"/>
            </w:tcBorders>
            <w:tcMar>
              <w:top w:w="80" w:type="dxa"/>
              <w:left w:w="120" w:type="dxa"/>
              <w:bottom w:w="80" w:type="dxa"/>
              <w:right w:w="120" w:type="dxa"/>
            </w:tcMar>
          </w:tcPr>
          <w:p w:rsidR="009C3B05" w:rsidRDefault="00446879">
            <w:r>
              <w:rPr>
                <w:sz w:val="21"/>
                <w:szCs w:val="21"/>
              </w:rPr>
              <w:t xml:space="preserve">Contact </w:t>
            </w:r>
            <w:hyperlink r:id="rId6" w:history="1">
              <w:r w:rsidRPr="00DE2EAD">
                <w:rPr>
                  <w:rStyle w:val="Hyperlink"/>
                  <w:sz w:val="21"/>
                  <w:szCs w:val="21"/>
                </w:rPr>
                <w:t>enquiries@ahimsa.org.uk</w:t>
              </w:r>
            </w:hyperlink>
            <w:r>
              <w:rPr>
                <w:sz w:val="21"/>
                <w:szCs w:val="21"/>
              </w:rPr>
              <w:t xml:space="preserve"> for an application form. </w:t>
            </w:r>
          </w:p>
        </w:tc>
      </w:tr>
    </w:tbl>
    <w:p w:rsidR="009C3B05" w:rsidRDefault="009C3B05">
      <w:pPr>
        <w:spacing w:before="60" w:after="60"/>
      </w:pPr>
    </w:p>
    <w:p w:rsidR="009C3B05" w:rsidRDefault="00446879">
      <w:pPr>
        <w:pBdr>
          <w:bottom w:val="single" w:sz="8" w:space="4" w:color="78A53C"/>
        </w:pBdr>
        <w:spacing w:before="360" w:after="120"/>
      </w:pPr>
      <w:r>
        <w:rPr>
          <w:b/>
          <w:bCs/>
          <w:color w:val="691E78"/>
          <w:sz w:val="28"/>
          <w:szCs w:val="28"/>
        </w:rPr>
        <w:t>About Ahimsa</w:t>
      </w:r>
      <w:bookmarkStart w:id="0" w:name="_GoBack"/>
      <w:bookmarkEnd w:id="0"/>
    </w:p>
    <w:p w:rsidR="009C3B05" w:rsidRDefault="00446879">
      <w:pPr>
        <w:spacing w:before="60" w:after="60"/>
      </w:pPr>
      <w:r>
        <w:t>Ahimsa is a Respect-accredited charity with 28 years of experience delivering domestic abuse behaviour change work in Plymouth. We work with people who cause harm to change their behaviour, alongside supporting their (ex)partners and families to stay safer</w:t>
      </w:r>
      <w:r>
        <w:t>. Our integrated model — working simultaneously with those causing harm and their partners/families — creates accountability and safety that perpetrator-only programmes cannot achieve.</w:t>
      </w:r>
    </w:p>
    <w:p w:rsidR="009C3B05" w:rsidRDefault="009C3B05">
      <w:pPr>
        <w:spacing w:before="60" w:after="60"/>
      </w:pPr>
    </w:p>
    <w:p w:rsidR="009C3B05" w:rsidRDefault="00446879">
      <w:pPr>
        <w:pBdr>
          <w:bottom w:val="single" w:sz="8" w:space="4" w:color="78A53C"/>
        </w:pBdr>
        <w:spacing w:before="360" w:after="120"/>
      </w:pPr>
      <w:r>
        <w:rPr>
          <w:b/>
          <w:bCs/>
          <w:color w:val="691E78"/>
          <w:sz w:val="28"/>
          <w:szCs w:val="28"/>
        </w:rPr>
        <w:t>About the Role</w:t>
      </w:r>
    </w:p>
    <w:p w:rsidR="009C3B05" w:rsidRDefault="00446879">
      <w:pPr>
        <w:spacing w:before="60" w:after="60"/>
      </w:pPr>
      <w:r>
        <w:t>We are recruiting two Behaviour Change Practitioners to</w:t>
      </w:r>
      <w:r>
        <w:t xml:space="preserve"> join our </w:t>
      </w:r>
      <w:proofErr w:type="gramStart"/>
      <w:r>
        <w:t>High Risk</w:t>
      </w:r>
      <w:proofErr w:type="gramEnd"/>
      <w:r>
        <w:t xml:space="preserve"> High Harm (HRHH) team. This is a specialist, high-impact role working with Plymouth’s highest-risk perpetrators of domestic abuse.</w:t>
      </w:r>
    </w:p>
    <w:p w:rsidR="009C3B05" w:rsidRDefault="009C3B05">
      <w:pPr>
        <w:spacing w:before="60" w:after="60"/>
      </w:pPr>
    </w:p>
    <w:p w:rsidR="009C3B05" w:rsidRDefault="00446879">
      <w:pPr>
        <w:spacing w:before="60" w:after="60"/>
      </w:pPr>
      <w:r>
        <w:t xml:space="preserve">These posts sit within Plymouth’s new commissioned Domestic Abuse Service — a partnership of local VCSE </w:t>
      </w:r>
      <w:r>
        <w:t>organisations including Ahimsa, First Light, Barnardo’s, and Bridges Outcomes Partnerships. This is one of the most significant developments in Plymouth’s domestic abuse system in years, and these roles are central to its success.</w:t>
      </w:r>
    </w:p>
    <w:p w:rsidR="009C3B05" w:rsidRDefault="009C3B05">
      <w:pPr>
        <w:spacing w:before="60" w:after="60"/>
      </w:pPr>
    </w:p>
    <w:p w:rsidR="009C3B05" w:rsidRDefault="00446879">
      <w:pPr>
        <w:spacing w:before="60" w:after="60"/>
      </w:pPr>
      <w:r>
        <w:t>The partnership is built</w:t>
      </w:r>
      <w:r>
        <w:t xml:space="preserve"> on a whole-family, holistic model that brings together behaviour change, advocacy, children and family services, and safe accommodation. It is survivor-led and trauma-informed, with lived experience embedded in design, delivery, and decision-making. The s</w:t>
      </w:r>
      <w:r>
        <w:t>ervice offers flexible, community-based access with streamlined referral pathways and a strong focus on evidence — collecting and analysing impact data to keep improving what we do.</w:t>
      </w:r>
    </w:p>
    <w:p w:rsidR="009C3B05" w:rsidRDefault="009C3B05">
      <w:pPr>
        <w:spacing w:before="60" w:after="60"/>
      </w:pPr>
    </w:p>
    <w:p w:rsidR="009C3B05" w:rsidRDefault="00446879">
      <w:pPr>
        <w:spacing w:before="60" w:after="60"/>
      </w:pPr>
      <w:r>
        <w:t>Ahimsa leads the specialist behaviour change element. You will work close</w:t>
      </w:r>
      <w:r>
        <w:t>ly with IDVAs at First Light, who provide integrated partner support, and take part in regular Case Management meetings facilitated by an external case manager. This multi-agency structure means you are never working in isolation — victim safety is a share</w:t>
      </w:r>
      <w:r>
        <w:t>d responsibility across the partnership.</w:t>
      </w:r>
    </w:p>
    <w:p w:rsidR="009C3B05" w:rsidRDefault="009C3B05">
      <w:pPr>
        <w:spacing w:before="60" w:after="60"/>
      </w:pPr>
    </w:p>
    <w:p w:rsidR="009C3B05" w:rsidRDefault="00446879">
      <w:pPr>
        <w:spacing w:before="60" w:after="60"/>
      </w:pPr>
      <w:r>
        <w:t>You will deliver intensive face-to-face, one-to-one behaviour change work with high-risk perpetrators over six months, coordinating closely with MATAC and MARAC partners including police and probation. This role su</w:t>
      </w:r>
      <w:r>
        <w:t>its someone with a grounding in trauma-informed practice who can hold compassion and accountability simultaneously — bringing professional curiosity, resilience, and a genuine belief that behaviour change is possible.</w:t>
      </w:r>
    </w:p>
    <w:p w:rsidR="009C3B05" w:rsidRDefault="009C3B05">
      <w:pPr>
        <w:spacing w:before="60" w:after="60"/>
      </w:pPr>
    </w:p>
    <w:p w:rsidR="009C3B05" w:rsidRDefault="00446879">
      <w:pPr>
        <w:pBdr>
          <w:bottom w:val="single" w:sz="8" w:space="4" w:color="78A53C"/>
        </w:pBdr>
        <w:spacing w:before="360" w:after="120"/>
      </w:pPr>
      <w:r>
        <w:rPr>
          <w:b/>
          <w:bCs/>
          <w:color w:val="691E78"/>
          <w:sz w:val="28"/>
          <w:szCs w:val="28"/>
        </w:rPr>
        <w:t>Contract and Funding Stability</w:t>
      </w:r>
    </w:p>
    <w:p w:rsidR="009C3B05" w:rsidRDefault="00446879">
      <w:pPr>
        <w:spacing w:before="60" w:after="60"/>
      </w:pPr>
      <w:r>
        <w:t>This is a 2-year contract, with Plymouth City Council having committed funding over that period. The wider partnership operates under a 10-year commissioned contract — one of the longest-term commitments to domestic abuse services Plymouth has ever seen. W</w:t>
      </w:r>
      <w:r>
        <w:t>hile individual posts beyond 2 years cannot be guaranteed at this stage, the long-term nature of the partnership provides a realistic expectation of continued opportunity for the right people.</w:t>
      </w:r>
    </w:p>
    <w:p w:rsidR="009C3B05" w:rsidRDefault="009C3B05">
      <w:pPr>
        <w:spacing w:before="60" w:after="60"/>
      </w:pPr>
    </w:p>
    <w:p w:rsidR="009C3B05" w:rsidRDefault="00446879">
      <w:pPr>
        <w:pBdr>
          <w:bottom w:val="single" w:sz="8" w:space="4" w:color="78A53C"/>
        </w:pBdr>
        <w:spacing w:before="360" w:after="120"/>
      </w:pPr>
      <w:r>
        <w:rPr>
          <w:b/>
          <w:bCs/>
          <w:color w:val="691E78"/>
          <w:sz w:val="28"/>
          <w:szCs w:val="28"/>
        </w:rPr>
        <w:t>Key Responsibilities</w:t>
      </w:r>
    </w:p>
    <w:p w:rsidR="009C3B05" w:rsidRDefault="00446879">
      <w:pPr>
        <w:spacing w:before="200" w:after="80"/>
      </w:pPr>
      <w:r>
        <w:rPr>
          <w:b/>
          <w:bCs/>
          <w:color w:val="691E78"/>
        </w:rPr>
        <w:t>Behaviour Change Work</w:t>
      </w:r>
    </w:p>
    <w:p w:rsidR="009C3B05" w:rsidRDefault="00446879">
      <w:pPr>
        <w:pStyle w:val="ListParagraph"/>
        <w:numPr>
          <w:ilvl w:val="0"/>
          <w:numId w:val="2"/>
        </w:numPr>
        <w:spacing w:before="40" w:after="40"/>
      </w:pPr>
      <w:r>
        <w:t xml:space="preserve">Deliver structured </w:t>
      </w:r>
      <w:r>
        <w:t>face-to-face, one-to-one behaviour change sessions with high-risk perpetrators referred through MATAC, MARAC, and multi-agency partners</w:t>
      </w:r>
    </w:p>
    <w:p w:rsidR="009C3B05" w:rsidRDefault="00446879">
      <w:pPr>
        <w:pStyle w:val="ListParagraph"/>
        <w:numPr>
          <w:ilvl w:val="0"/>
          <w:numId w:val="2"/>
        </w:numPr>
        <w:spacing w:before="40" w:after="40"/>
      </w:pPr>
      <w:r>
        <w:t>Conduct initial assessments to determine suitability and risk, submitting reports to courts, social services, and partne</w:t>
      </w:r>
      <w:r>
        <w:t>r agencies as required</w:t>
      </w:r>
    </w:p>
    <w:p w:rsidR="009C3B05" w:rsidRDefault="00446879">
      <w:pPr>
        <w:pStyle w:val="ListParagraph"/>
        <w:numPr>
          <w:ilvl w:val="0"/>
          <w:numId w:val="2"/>
        </w:numPr>
        <w:spacing w:before="40" w:after="40"/>
      </w:pPr>
      <w:r>
        <w:t>Implement the Ahimsa model of practice in line with Respect National Service Standards</w:t>
      </w:r>
    </w:p>
    <w:p w:rsidR="009C3B05" w:rsidRDefault="00446879">
      <w:pPr>
        <w:pStyle w:val="ListParagraph"/>
        <w:numPr>
          <w:ilvl w:val="0"/>
          <w:numId w:val="2"/>
        </w:numPr>
        <w:spacing w:before="40" w:after="40"/>
      </w:pPr>
      <w:r>
        <w:t>Maintain a caseload and keep accurate, up-to-date records on Ahimsa’s case management system</w:t>
      </w:r>
    </w:p>
    <w:p w:rsidR="009C3B05" w:rsidRDefault="00446879">
      <w:pPr>
        <w:pStyle w:val="ListParagraph"/>
        <w:numPr>
          <w:ilvl w:val="0"/>
          <w:numId w:val="2"/>
        </w:numPr>
        <w:spacing w:before="40" w:after="40"/>
      </w:pPr>
      <w:r>
        <w:t>Work flexibly, including late afternoons and evenings</w:t>
      </w:r>
      <w:r>
        <w:t>, to accommodate client schedules</w:t>
      </w:r>
    </w:p>
    <w:p w:rsidR="009C3B05" w:rsidRDefault="009C3B05">
      <w:pPr>
        <w:spacing w:before="60" w:after="60"/>
      </w:pPr>
    </w:p>
    <w:p w:rsidR="009C3B05" w:rsidRDefault="00446879">
      <w:pPr>
        <w:spacing w:before="200" w:after="80"/>
      </w:pPr>
      <w:r>
        <w:rPr>
          <w:b/>
          <w:bCs/>
          <w:color w:val="691E78"/>
        </w:rPr>
        <w:t>Partnership and Multi-Agency Working</w:t>
      </w:r>
    </w:p>
    <w:p w:rsidR="009C3B05" w:rsidRDefault="00446879">
      <w:pPr>
        <w:pStyle w:val="ListParagraph"/>
        <w:numPr>
          <w:ilvl w:val="0"/>
          <w:numId w:val="2"/>
        </w:numPr>
        <w:spacing w:before="40" w:after="40"/>
      </w:pPr>
      <w:r>
        <w:t>Take part in regular Case Management meetings with IDVA colleagues at First Light, coordinated by an external case manager</w:t>
      </w:r>
    </w:p>
    <w:p w:rsidR="009C3B05" w:rsidRDefault="00446879">
      <w:pPr>
        <w:pStyle w:val="ListParagraph"/>
        <w:numPr>
          <w:ilvl w:val="0"/>
          <w:numId w:val="2"/>
        </w:numPr>
        <w:spacing w:before="40" w:after="40"/>
      </w:pPr>
      <w:r>
        <w:t>Participate fully in MATAC and MARAC processes — preparing from minutes in advance and actively contributing at meetings</w:t>
      </w:r>
    </w:p>
    <w:p w:rsidR="009C3B05" w:rsidRDefault="00446879">
      <w:pPr>
        <w:pStyle w:val="ListParagraph"/>
        <w:numPr>
          <w:ilvl w:val="0"/>
          <w:numId w:val="2"/>
        </w:numPr>
        <w:spacing w:before="40" w:after="40"/>
      </w:pPr>
      <w:r>
        <w:t>Attend MAPPA meetings as and when required</w:t>
      </w:r>
    </w:p>
    <w:p w:rsidR="009C3B05" w:rsidRDefault="00446879">
      <w:pPr>
        <w:pStyle w:val="ListParagraph"/>
        <w:numPr>
          <w:ilvl w:val="0"/>
          <w:numId w:val="2"/>
        </w:numPr>
        <w:spacing w:before="40" w:after="40"/>
      </w:pPr>
      <w:r>
        <w:t>Liaise with statutory and voluntary partners including Children’s Services, Police, National</w:t>
      </w:r>
      <w:r>
        <w:t xml:space="preserve"> Probation Service, mental health, and drug and alcohol services</w:t>
      </w:r>
    </w:p>
    <w:p w:rsidR="009C3B05" w:rsidRDefault="00446879">
      <w:pPr>
        <w:pStyle w:val="ListParagraph"/>
        <w:numPr>
          <w:ilvl w:val="0"/>
          <w:numId w:val="2"/>
        </w:numPr>
        <w:spacing w:before="40" w:after="40"/>
      </w:pPr>
      <w:r>
        <w:t>Attend core group meetings and case conferences as required</w:t>
      </w:r>
    </w:p>
    <w:p w:rsidR="009C3B05" w:rsidRDefault="00446879">
      <w:pPr>
        <w:pStyle w:val="ListParagraph"/>
        <w:numPr>
          <w:ilvl w:val="0"/>
          <w:numId w:val="2"/>
        </w:numPr>
        <w:spacing w:before="40" w:after="40"/>
      </w:pPr>
      <w:r>
        <w:t>Liaise closely with partner services in response to any increase in risk</w:t>
      </w:r>
    </w:p>
    <w:p w:rsidR="009C3B05" w:rsidRDefault="00446879">
      <w:pPr>
        <w:pStyle w:val="ListParagraph"/>
        <w:numPr>
          <w:ilvl w:val="0"/>
          <w:numId w:val="2"/>
        </w:numPr>
        <w:spacing w:before="40" w:after="40"/>
      </w:pPr>
      <w:r>
        <w:t>Keep partner agencies informed of significant changes in a</w:t>
      </w:r>
      <w:r>
        <w:t xml:space="preserve"> client’s situation and receive reciprocal information appropriately</w:t>
      </w:r>
    </w:p>
    <w:p w:rsidR="009C3B05" w:rsidRDefault="009C3B05">
      <w:pPr>
        <w:spacing w:before="60" w:after="60"/>
      </w:pPr>
    </w:p>
    <w:p w:rsidR="009C3B05" w:rsidRDefault="00446879">
      <w:pPr>
        <w:spacing w:before="200" w:after="80"/>
      </w:pPr>
      <w:r>
        <w:rPr>
          <w:b/>
          <w:bCs/>
          <w:color w:val="691E78"/>
        </w:rPr>
        <w:t>Organisational Responsibilities</w:t>
      </w:r>
    </w:p>
    <w:p w:rsidR="009C3B05" w:rsidRDefault="00446879">
      <w:pPr>
        <w:pStyle w:val="ListParagraph"/>
        <w:numPr>
          <w:ilvl w:val="0"/>
          <w:numId w:val="2"/>
        </w:numPr>
        <w:spacing w:before="40" w:after="40"/>
      </w:pPr>
      <w:r>
        <w:t>Contribute to team meetings, clinical supervision, and forward planning</w:t>
      </w:r>
    </w:p>
    <w:p w:rsidR="009C3B05" w:rsidRDefault="00446879">
      <w:pPr>
        <w:pStyle w:val="ListParagraph"/>
        <w:numPr>
          <w:ilvl w:val="0"/>
          <w:numId w:val="2"/>
        </w:numPr>
        <w:spacing w:before="40" w:after="40"/>
      </w:pPr>
      <w:r>
        <w:t>Maintain accurate records and contribute to monitoring, evaluation, and funder rep</w:t>
      </w:r>
      <w:r>
        <w:t>orting</w:t>
      </w:r>
    </w:p>
    <w:p w:rsidR="009C3B05" w:rsidRDefault="00446879">
      <w:pPr>
        <w:pStyle w:val="ListParagraph"/>
        <w:numPr>
          <w:ilvl w:val="0"/>
          <w:numId w:val="2"/>
        </w:numPr>
        <w:spacing w:before="40" w:after="40"/>
      </w:pPr>
      <w:r>
        <w:t>Represent Ahimsa at external meetings, seminars, and conferences as required</w:t>
      </w:r>
    </w:p>
    <w:p w:rsidR="009C3B05" w:rsidRDefault="00446879">
      <w:pPr>
        <w:pStyle w:val="ListParagraph"/>
        <w:numPr>
          <w:ilvl w:val="0"/>
          <w:numId w:val="2"/>
        </w:numPr>
        <w:spacing w:before="40" w:after="40"/>
      </w:pPr>
      <w:r>
        <w:t>Keep up to date with domestic abuse legislation, sector developments, and relevant training</w:t>
      </w:r>
    </w:p>
    <w:p w:rsidR="009C3B05" w:rsidRDefault="00446879">
      <w:pPr>
        <w:pStyle w:val="ListParagraph"/>
        <w:numPr>
          <w:ilvl w:val="0"/>
          <w:numId w:val="2"/>
        </w:numPr>
        <w:spacing w:before="40" w:after="40"/>
      </w:pPr>
      <w:r>
        <w:t>Work in accordance with all Ahimsa policies, including Equal Opportunities and C</w:t>
      </w:r>
      <w:r>
        <w:t>onfidentiality</w:t>
      </w:r>
    </w:p>
    <w:p w:rsidR="009C3B05" w:rsidRDefault="009C3B05">
      <w:pPr>
        <w:spacing w:before="60" w:after="60"/>
      </w:pPr>
    </w:p>
    <w:p w:rsidR="009C3B05" w:rsidRDefault="00446879">
      <w:pPr>
        <w:pBdr>
          <w:bottom w:val="single" w:sz="8" w:space="4" w:color="78A53C"/>
        </w:pBdr>
        <w:spacing w:before="360" w:after="120"/>
      </w:pPr>
      <w:r>
        <w:rPr>
          <w:b/>
          <w:bCs/>
          <w:color w:val="691E78"/>
          <w:sz w:val="28"/>
          <w:szCs w:val="28"/>
        </w:rPr>
        <w:t>Person Specification</w:t>
      </w:r>
    </w:p>
    <w:p w:rsidR="009C3B05" w:rsidRDefault="00446879">
      <w:pPr>
        <w:spacing w:before="200" w:after="80"/>
      </w:pPr>
      <w:r>
        <w:rPr>
          <w:b/>
          <w:bCs/>
          <w:color w:val="691E78"/>
        </w:rPr>
        <w:t>Experience — Essential</w:t>
      </w:r>
    </w:p>
    <w:p w:rsidR="009C3B05" w:rsidRDefault="00446879">
      <w:pPr>
        <w:pStyle w:val="ListParagraph"/>
        <w:numPr>
          <w:ilvl w:val="0"/>
          <w:numId w:val="2"/>
        </w:numPr>
        <w:spacing w:before="40" w:after="40"/>
      </w:pPr>
      <w:r>
        <w:t>Experience of providing face-to-face, one-to-one support, counselling, or structured casework</w:t>
      </w:r>
    </w:p>
    <w:p w:rsidR="009C3B05" w:rsidRDefault="00446879">
      <w:pPr>
        <w:pStyle w:val="ListParagraph"/>
        <w:numPr>
          <w:ilvl w:val="0"/>
          <w:numId w:val="2"/>
        </w:numPr>
        <w:spacing w:before="40" w:after="40"/>
      </w:pPr>
      <w:r>
        <w:t>Experience of working with domestic abuse, child protection, or a closely related field</w:t>
      </w:r>
    </w:p>
    <w:p w:rsidR="009C3B05" w:rsidRDefault="00446879">
      <w:pPr>
        <w:pStyle w:val="ListParagraph"/>
        <w:numPr>
          <w:ilvl w:val="0"/>
          <w:numId w:val="2"/>
        </w:numPr>
        <w:spacing w:before="40" w:after="40"/>
      </w:pPr>
      <w:r>
        <w:t xml:space="preserve">Experience of </w:t>
      </w:r>
      <w:r>
        <w:t>managing your own caseload and associated administration</w:t>
      </w:r>
    </w:p>
    <w:p w:rsidR="009C3B05" w:rsidRDefault="00446879">
      <w:pPr>
        <w:pStyle w:val="ListParagraph"/>
        <w:numPr>
          <w:ilvl w:val="0"/>
          <w:numId w:val="2"/>
        </w:numPr>
        <w:spacing w:before="40" w:after="40"/>
      </w:pPr>
      <w:r>
        <w:t>Experience of liaising and working collaboratively with statutory and voluntary agencies</w:t>
      </w:r>
    </w:p>
    <w:p w:rsidR="009C3B05" w:rsidRDefault="009C3B05">
      <w:pPr>
        <w:spacing w:before="60" w:after="60"/>
      </w:pPr>
    </w:p>
    <w:p w:rsidR="009C3B05" w:rsidRDefault="00446879">
      <w:pPr>
        <w:spacing w:before="200" w:after="80"/>
      </w:pPr>
      <w:r>
        <w:rPr>
          <w:b/>
          <w:bCs/>
          <w:color w:val="691E78"/>
        </w:rPr>
        <w:t>Experience — Desirable</w:t>
      </w:r>
    </w:p>
    <w:p w:rsidR="009C3B05" w:rsidRDefault="00446879">
      <w:pPr>
        <w:pStyle w:val="ListParagraph"/>
        <w:numPr>
          <w:ilvl w:val="0"/>
          <w:numId w:val="2"/>
        </w:numPr>
        <w:spacing w:before="40" w:after="40"/>
      </w:pPr>
      <w:r>
        <w:t>Experience working directly with perpetrators of domestic abuse or people displaying h</w:t>
      </w:r>
      <w:r>
        <w:t>armful behaviour</w:t>
      </w:r>
    </w:p>
    <w:p w:rsidR="009C3B05" w:rsidRDefault="00446879">
      <w:pPr>
        <w:pStyle w:val="ListParagraph"/>
        <w:numPr>
          <w:ilvl w:val="0"/>
          <w:numId w:val="2"/>
        </w:numPr>
        <w:spacing w:before="40" w:after="40"/>
      </w:pPr>
      <w:r>
        <w:t>Experience in a related field such as substance misuse, family support, mental health, or criminal justice</w:t>
      </w:r>
    </w:p>
    <w:p w:rsidR="009C3B05" w:rsidRDefault="00446879">
      <w:pPr>
        <w:pStyle w:val="ListParagraph"/>
        <w:numPr>
          <w:ilvl w:val="0"/>
          <w:numId w:val="2"/>
        </w:numPr>
        <w:spacing w:before="40" w:after="40"/>
      </w:pPr>
      <w:r>
        <w:t>Background or interest in mindfulness or trauma-informed approaches</w:t>
      </w:r>
    </w:p>
    <w:p w:rsidR="009C3B05" w:rsidRDefault="009C3B05">
      <w:pPr>
        <w:spacing w:before="60" w:after="60"/>
      </w:pPr>
    </w:p>
    <w:p w:rsidR="009C3B05" w:rsidRDefault="00446879">
      <w:pPr>
        <w:spacing w:before="200" w:after="80"/>
      </w:pPr>
      <w:r>
        <w:rPr>
          <w:b/>
          <w:bCs/>
          <w:color w:val="691E78"/>
        </w:rPr>
        <w:t>Knowledge — Essential</w:t>
      </w:r>
    </w:p>
    <w:p w:rsidR="009C3B05" w:rsidRDefault="00446879">
      <w:pPr>
        <w:pStyle w:val="ListParagraph"/>
        <w:numPr>
          <w:ilvl w:val="0"/>
          <w:numId w:val="2"/>
        </w:numPr>
        <w:spacing w:before="40" w:after="40"/>
      </w:pPr>
      <w:r>
        <w:t>Understanding of the nature of domestic abuse and its impact on victims, children, and families</w:t>
      </w:r>
    </w:p>
    <w:p w:rsidR="009C3B05" w:rsidRDefault="00446879">
      <w:pPr>
        <w:pStyle w:val="ListParagraph"/>
        <w:numPr>
          <w:ilvl w:val="0"/>
          <w:numId w:val="2"/>
        </w:numPr>
        <w:spacing w:before="40" w:after="40"/>
      </w:pPr>
      <w:r>
        <w:t>Understanding of why individuals use abusive behaviour and the models used to address it</w:t>
      </w:r>
    </w:p>
    <w:p w:rsidR="009C3B05" w:rsidRDefault="00446879">
      <w:pPr>
        <w:pStyle w:val="ListParagraph"/>
        <w:numPr>
          <w:ilvl w:val="0"/>
          <w:numId w:val="2"/>
        </w:numPr>
        <w:spacing w:before="40" w:after="40"/>
      </w:pPr>
      <w:r>
        <w:t>Understanding of risk factors associated with perpetrators of domestic abuse</w:t>
      </w:r>
    </w:p>
    <w:p w:rsidR="009C3B05" w:rsidRDefault="009C3B05">
      <w:pPr>
        <w:spacing w:before="60" w:after="60"/>
      </w:pPr>
    </w:p>
    <w:p w:rsidR="009C3B05" w:rsidRDefault="00446879">
      <w:pPr>
        <w:spacing w:before="200" w:after="80"/>
      </w:pPr>
      <w:r>
        <w:rPr>
          <w:b/>
          <w:bCs/>
          <w:color w:val="691E78"/>
        </w:rPr>
        <w:t>Knowledge — Desirable</w:t>
      </w:r>
    </w:p>
    <w:p w:rsidR="009C3B05" w:rsidRDefault="00446879">
      <w:pPr>
        <w:pStyle w:val="ListParagraph"/>
        <w:numPr>
          <w:ilvl w:val="0"/>
          <w:numId w:val="2"/>
        </w:numPr>
        <w:spacing w:before="40" w:after="40"/>
      </w:pPr>
      <w:r>
        <w:t>Knowledge of the criminal justice system in relation to domestic abuse</w:t>
      </w:r>
    </w:p>
    <w:p w:rsidR="009C3B05" w:rsidRDefault="00446879">
      <w:pPr>
        <w:pStyle w:val="ListParagraph"/>
        <w:numPr>
          <w:ilvl w:val="0"/>
          <w:numId w:val="2"/>
        </w:numPr>
        <w:spacing w:before="40" w:after="40"/>
      </w:pPr>
      <w:r>
        <w:t>Understanding of the child protection system</w:t>
      </w:r>
    </w:p>
    <w:p w:rsidR="009C3B05" w:rsidRDefault="00446879">
      <w:pPr>
        <w:pStyle w:val="ListParagraph"/>
        <w:numPr>
          <w:ilvl w:val="0"/>
          <w:numId w:val="2"/>
        </w:numPr>
        <w:spacing w:before="40" w:after="40"/>
      </w:pPr>
      <w:r>
        <w:t>Interest in psychology, trauma, or behav</w:t>
      </w:r>
      <w:r>
        <w:t>iour analysis</w:t>
      </w:r>
    </w:p>
    <w:p w:rsidR="009C3B05" w:rsidRDefault="009C3B05">
      <w:pPr>
        <w:spacing w:before="60" w:after="60"/>
      </w:pPr>
    </w:p>
    <w:p w:rsidR="009C3B05" w:rsidRDefault="00446879">
      <w:pPr>
        <w:spacing w:before="200" w:after="80"/>
      </w:pPr>
      <w:r>
        <w:rPr>
          <w:b/>
          <w:bCs/>
          <w:color w:val="691E78"/>
        </w:rPr>
        <w:t>Skills — Essential</w:t>
      </w:r>
    </w:p>
    <w:p w:rsidR="009C3B05" w:rsidRDefault="00446879">
      <w:pPr>
        <w:pStyle w:val="ListParagraph"/>
        <w:numPr>
          <w:ilvl w:val="0"/>
          <w:numId w:val="2"/>
        </w:numPr>
        <w:spacing w:before="40" w:after="40"/>
      </w:pPr>
      <w:r>
        <w:t>Ability to communicate clearly and sensitively with a range of people, including in complex or distressing situations</w:t>
      </w:r>
    </w:p>
    <w:p w:rsidR="009C3B05" w:rsidRDefault="00446879">
      <w:pPr>
        <w:pStyle w:val="ListParagraph"/>
        <w:numPr>
          <w:ilvl w:val="0"/>
          <w:numId w:val="2"/>
        </w:numPr>
        <w:spacing w:before="40" w:after="40"/>
      </w:pPr>
      <w:r>
        <w:t>Strong organisational skills and ability to prioritise a varied workload</w:t>
      </w:r>
    </w:p>
    <w:p w:rsidR="009C3B05" w:rsidRDefault="00446879">
      <w:pPr>
        <w:pStyle w:val="ListParagraph"/>
        <w:numPr>
          <w:ilvl w:val="0"/>
          <w:numId w:val="2"/>
        </w:numPr>
        <w:spacing w:before="40" w:after="40"/>
      </w:pPr>
      <w:r>
        <w:t>Ability to work collaboratively</w:t>
      </w:r>
      <w:r>
        <w:t xml:space="preserve"> as part of a multi-disciplinary team</w:t>
      </w:r>
    </w:p>
    <w:p w:rsidR="009C3B05" w:rsidRDefault="00446879">
      <w:pPr>
        <w:pStyle w:val="ListParagraph"/>
        <w:numPr>
          <w:ilvl w:val="0"/>
          <w:numId w:val="2"/>
        </w:numPr>
        <w:spacing w:before="40" w:after="40"/>
      </w:pPr>
      <w:r>
        <w:t>Competent IT skills and confidence with data recording and case management systems</w:t>
      </w:r>
    </w:p>
    <w:p w:rsidR="009C3B05" w:rsidRDefault="00446879">
      <w:pPr>
        <w:pStyle w:val="ListParagraph"/>
        <w:numPr>
          <w:ilvl w:val="0"/>
          <w:numId w:val="2"/>
        </w:numPr>
        <w:spacing w:before="40" w:after="40"/>
      </w:pPr>
      <w:r>
        <w:t>Ability to remain calm and respond appropriately in challenging or high-risk situations</w:t>
      </w:r>
    </w:p>
    <w:p w:rsidR="009C3B05" w:rsidRDefault="00446879">
      <w:pPr>
        <w:pStyle w:val="ListParagraph"/>
        <w:numPr>
          <w:ilvl w:val="0"/>
          <w:numId w:val="2"/>
        </w:numPr>
        <w:spacing w:before="40" w:after="40"/>
      </w:pPr>
      <w:r>
        <w:t>Networking and relationship-building skills acr</w:t>
      </w:r>
      <w:r>
        <w:t>oss agencies</w:t>
      </w:r>
    </w:p>
    <w:p w:rsidR="009C3B05" w:rsidRDefault="009C3B05">
      <w:pPr>
        <w:spacing w:before="60" w:after="60"/>
      </w:pPr>
    </w:p>
    <w:p w:rsidR="009C3B05" w:rsidRDefault="00446879">
      <w:pPr>
        <w:spacing w:before="200" w:after="80"/>
      </w:pPr>
      <w:r>
        <w:rPr>
          <w:b/>
          <w:bCs/>
          <w:color w:val="691E78"/>
        </w:rPr>
        <w:t>Values and Approach — Essential</w:t>
      </w:r>
    </w:p>
    <w:p w:rsidR="009C3B05" w:rsidRDefault="00446879">
      <w:pPr>
        <w:pStyle w:val="ListParagraph"/>
        <w:numPr>
          <w:ilvl w:val="0"/>
          <w:numId w:val="2"/>
        </w:numPr>
        <w:spacing w:before="40" w:after="40"/>
      </w:pPr>
      <w:r>
        <w:t>A genuine commitment to holding perpetrators accountable while approaching people with humanity and compassion</w:t>
      </w:r>
    </w:p>
    <w:p w:rsidR="009C3B05" w:rsidRDefault="00446879">
      <w:pPr>
        <w:pStyle w:val="ListParagraph"/>
        <w:numPr>
          <w:ilvl w:val="0"/>
          <w:numId w:val="2"/>
        </w:numPr>
        <w:spacing w:before="40" w:after="40"/>
      </w:pPr>
      <w:r>
        <w:t xml:space="preserve">Understanding that compassion and accountability must coexist — this is perpetrator accountability </w:t>
      </w:r>
      <w:r>
        <w:t>work, not perpetrator support. Compassionate, not collusive.</w:t>
      </w:r>
    </w:p>
    <w:p w:rsidR="009C3B05" w:rsidRDefault="00446879">
      <w:pPr>
        <w:pStyle w:val="ListParagraph"/>
        <w:numPr>
          <w:ilvl w:val="0"/>
          <w:numId w:val="2"/>
        </w:numPr>
        <w:spacing w:before="40" w:after="40"/>
      </w:pPr>
      <w:r>
        <w:t>Commitment to victim safety as the foundation of all practice decisions</w:t>
      </w:r>
    </w:p>
    <w:p w:rsidR="009C3B05" w:rsidRDefault="00446879">
      <w:pPr>
        <w:pStyle w:val="ListParagraph"/>
        <w:numPr>
          <w:ilvl w:val="0"/>
          <w:numId w:val="2"/>
        </w:numPr>
        <w:spacing w:before="40" w:after="40"/>
      </w:pPr>
      <w:r>
        <w:t>Ability to establish and maintain professional boundaries</w:t>
      </w:r>
    </w:p>
    <w:p w:rsidR="009C3B05" w:rsidRDefault="00446879">
      <w:pPr>
        <w:pStyle w:val="ListParagraph"/>
        <w:numPr>
          <w:ilvl w:val="0"/>
          <w:numId w:val="2"/>
        </w:numPr>
        <w:spacing w:before="40" w:after="40"/>
      </w:pPr>
      <w:r>
        <w:t>Flexibility, resilience, and a non-judgemental approach</w:t>
      </w:r>
    </w:p>
    <w:p w:rsidR="009C3B05" w:rsidRDefault="00446879">
      <w:pPr>
        <w:pStyle w:val="ListParagraph"/>
        <w:numPr>
          <w:ilvl w:val="0"/>
          <w:numId w:val="2"/>
        </w:numPr>
        <w:spacing w:before="40" w:after="40"/>
      </w:pPr>
      <w:r>
        <w:lastRenderedPageBreak/>
        <w:t>Commitmen</w:t>
      </w:r>
      <w:r>
        <w:t>t to anti-discriminatory practice in employment and service delivery</w:t>
      </w:r>
    </w:p>
    <w:p w:rsidR="009C3B05" w:rsidRDefault="00446879">
      <w:pPr>
        <w:pStyle w:val="ListParagraph"/>
        <w:numPr>
          <w:ilvl w:val="0"/>
          <w:numId w:val="2"/>
        </w:numPr>
        <w:spacing w:before="40" w:after="40"/>
      </w:pPr>
      <w:r>
        <w:t>Willingness to work within an organisation serving people of all gender identities</w:t>
      </w:r>
    </w:p>
    <w:p w:rsidR="009C3B05" w:rsidRDefault="00446879">
      <w:pPr>
        <w:pStyle w:val="ListParagraph"/>
        <w:numPr>
          <w:ilvl w:val="0"/>
          <w:numId w:val="2"/>
        </w:numPr>
        <w:spacing w:before="40" w:after="40"/>
      </w:pPr>
      <w:r>
        <w:t>Willingness to work some evenings</w:t>
      </w:r>
    </w:p>
    <w:p w:rsidR="009C3B05" w:rsidRDefault="009C3B05">
      <w:pPr>
        <w:spacing w:before="60" w:after="60"/>
      </w:pPr>
    </w:p>
    <w:p w:rsidR="009C3B05" w:rsidRDefault="00446879">
      <w:pPr>
        <w:pBdr>
          <w:bottom w:val="single" w:sz="8" w:space="4" w:color="78A53C"/>
        </w:pBdr>
        <w:spacing w:before="360" w:after="120"/>
      </w:pPr>
      <w:r>
        <w:rPr>
          <w:b/>
          <w:bCs/>
          <w:color w:val="691E78"/>
          <w:sz w:val="28"/>
          <w:szCs w:val="28"/>
        </w:rPr>
        <w:t>Other Requirements</w:t>
      </w:r>
    </w:p>
    <w:p w:rsidR="009C3B05" w:rsidRDefault="00446879">
      <w:pPr>
        <w:spacing w:before="60" w:after="60"/>
      </w:pPr>
      <w:r>
        <w:t>This post is subject to an Enhanced DBS check.</w:t>
      </w:r>
    </w:p>
    <w:p w:rsidR="009C3B05" w:rsidRDefault="009C3B05">
      <w:pPr>
        <w:spacing w:before="60" w:after="60"/>
      </w:pPr>
    </w:p>
    <w:p w:rsidR="009C3B05" w:rsidRDefault="00446879">
      <w:pPr>
        <w:spacing w:before="60" w:after="60"/>
      </w:pPr>
      <w:r>
        <w:t>We recognise that people come to this work from many backgrounds, including lived experience of domestic abuse. We welcome applications from people with lived experience and do not exclude on this basis. What we ask is that applicants are able to demonstra</w:t>
      </w:r>
      <w:r>
        <w:t>te, at interview, that they have sufficient reflective distance from any personal experience to practise safely and effectively with this client group. Our supervision and support structures are designed to help all staff maintain this throughout their emp</w:t>
      </w:r>
      <w:r>
        <w:t>loyment.</w:t>
      </w:r>
    </w:p>
    <w:p w:rsidR="009C3B05" w:rsidRDefault="009C3B05">
      <w:pPr>
        <w:spacing w:before="60" w:after="60"/>
      </w:pPr>
    </w:p>
    <w:p w:rsidR="009C3B05" w:rsidRDefault="00446879">
      <w:pPr>
        <w:spacing w:before="60" w:after="60"/>
      </w:pPr>
      <w:r>
        <w:t>A valid driving licence and access to a vehicle with Business Class Insurance is essential.</w:t>
      </w:r>
    </w:p>
    <w:p w:rsidR="009C3B05" w:rsidRDefault="009C3B05">
      <w:pPr>
        <w:spacing w:before="60" w:after="60"/>
      </w:pPr>
    </w:p>
    <w:p w:rsidR="009C3B05" w:rsidRDefault="00446879">
      <w:pPr>
        <w:pBdr>
          <w:bottom w:val="single" w:sz="8" w:space="4" w:color="78A53C"/>
        </w:pBdr>
        <w:spacing w:before="360" w:after="120"/>
      </w:pPr>
      <w:r>
        <w:rPr>
          <w:b/>
          <w:bCs/>
          <w:color w:val="691E78"/>
          <w:sz w:val="28"/>
          <w:szCs w:val="28"/>
        </w:rPr>
        <w:t>Why Join Ahimsa?</w:t>
      </w:r>
    </w:p>
    <w:p w:rsidR="009C3B05" w:rsidRDefault="00446879">
      <w:pPr>
        <w:pStyle w:val="ListParagraph"/>
        <w:numPr>
          <w:ilvl w:val="0"/>
          <w:numId w:val="2"/>
        </w:numPr>
        <w:spacing w:before="40" w:after="40"/>
      </w:pPr>
      <w:r>
        <w:t>Be part of a unique and innovative team whose objective is to create and develop healthy relationships</w:t>
      </w:r>
    </w:p>
    <w:p w:rsidR="009C3B05" w:rsidRDefault="00446879">
      <w:pPr>
        <w:pStyle w:val="ListParagraph"/>
        <w:numPr>
          <w:ilvl w:val="0"/>
          <w:numId w:val="2"/>
        </w:numPr>
        <w:spacing w:before="40" w:after="40"/>
      </w:pPr>
      <w:r>
        <w:t>Ongoing in-house training and dev</w:t>
      </w:r>
      <w:r>
        <w:t>elopment opportunities</w:t>
      </w:r>
    </w:p>
    <w:p w:rsidR="009C3B05" w:rsidRDefault="00446879">
      <w:pPr>
        <w:pStyle w:val="ListParagraph"/>
        <w:numPr>
          <w:ilvl w:val="0"/>
          <w:numId w:val="2"/>
        </w:numPr>
        <w:spacing w:before="40" w:after="40"/>
      </w:pPr>
      <w:r>
        <w:t>Make a tangible impact on improving lives and reducing harm</w:t>
      </w:r>
    </w:p>
    <w:p w:rsidR="009C3B05" w:rsidRDefault="00446879">
      <w:pPr>
        <w:pStyle w:val="ListParagraph"/>
        <w:numPr>
          <w:ilvl w:val="0"/>
          <w:numId w:val="2"/>
        </w:numPr>
        <w:spacing w:before="40" w:after="40"/>
      </w:pPr>
      <w:r>
        <w:t>We are dedicated to supporting your professional growth and self-awareness in this role</w:t>
      </w:r>
    </w:p>
    <w:p w:rsidR="009C3B05" w:rsidRDefault="00446879">
      <w:pPr>
        <w:pStyle w:val="ListParagraph"/>
        <w:numPr>
          <w:ilvl w:val="0"/>
          <w:numId w:val="2"/>
        </w:numPr>
        <w:spacing w:before="40" w:after="40"/>
      </w:pPr>
      <w:r>
        <w:t>Warm and welcoming induction process</w:t>
      </w:r>
    </w:p>
    <w:p w:rsidR="009C3B05" w:rsidRDefault="009C3B05">
      <w:pPr>
        <w:spacing w:before="60" w:after="60"/>
      </w:pPr>
    </w:p>
    <w:p w:rsidR="009C3B05" w:rsidRDefault="00446879">
      <w:pPr>
        <w:spacing w:before="200" w:after="80"/>
      </w:pPr>
      <w:r>
        <w:rPr>
          <w:b/>
          <w:bCs/>
          <w:color w:val="691E78"/>
        </w:rPr>
        <w:t>Benefits</w:t>
      </w:r>
    </w:p>
    <w:p w:rsidR="009C3B05" w:rsidRDefault="00446879">
      <w:pPr>
        <w:pStyle w:val="ListParagraph"/>
        <w:numPr>
          <w:ilvl w:val="0"/>
          <w:numId w:val="2"/>
        </w:numPr>
        <w:spacing w:before="40" w:after="40"/>
      </w:pPr>
      <w:r>
        <w:t>Smart casual dress code</w:t>
      </w:r>
    </w:p>
    <w:p w:rsidR="009C3B05" w:rsidRDefault="00446879">
      <w:pPr>
        <w:pStyle w:val="ListParagraph"/>
        <w:numPr>
          <w:ilvl w:val="0"/>
          <w:numId w:val="2"/>
        </w:numPr>
        <w:spacing w:before="40" w:after="40"/>
      </w:pPr>
      <w:r>
        <w:t>Contributory pension scheme (NEST) with 3% employer contribution</w:t>
      </w:r>
    </w:p>
    <w:p w:rsidR="009C3B05" w:rsidRDefault="00446879">
      <w:pPr>
        <w:pStyle w:val="ListParagraph"/>
        <w:numPr>
          <w:ilvl w:val="0"/>
          <w:numId w:val="2"/>
        </w:numPr>
        <w:spacing w:before="40" w:after="40"/>
      </w:pPr>
      <w:r>
        <w:t>28 days annual leave inclusive of bank holidays (or equivalent in hours)</w:t>
      </w:r>
    </w:p>
    <w:p w:rsidR="009C3B05" w:rsidRDefault="00446879">
      <w:pPr>
        <w:pStyle w:val="ListParagraph"/>
        <w:numPr>
          <w:ilvl w:val="0"/>
          <w:numId w:val="2"/>
        </w:numPr>
        <w:spacing w:before="40" w:after="40"/>
      </w:pPr>
      <w:r>
        <w:t>Quarterly emotional wellbeing days</w:t>
      </w:r>
    </w:p>
    <w:p w:rsidR="009C3B05" w:rsidRDefault="00446879">
      <w:pPr>
        <w:pStyle w:val="ListParagraph"/>
        <w:numPr>
          <w:ilvl w:val="0"/>
          <w:numId w:val="2"/>
        </w:numPr>
        <w:spacing w:before="40" w:after="40"/>
      </w:pPr>
      <w:r>
        <w:t>Access to free clinical supervision sessions</w:t>
      </w:r>
    </w:p>
    <w:p w:rsidR="009C3B05" w:rsidRDefault="009C3B05">
      <w:pPr>
        <w:spacing w:before="60" w:after="60"/>
      </w:pPr>
    </w:p>
    <w:p w:rsidR="009C3B05" w:rsidRDefault="00446879">
      <w:pPr>
        <w:spacing w:before="60" w:after="60"/>
      </w:pPr>
      <w:r>
        <w:t>This is genuinely specialist work tha</w:t>
      </w:r>
      <w:r>
        <w:t>t makes a direct difference to victim safety in Plymouth. You will be part of a well-resourced, multi-agency commissioned service with strong partnerships and access to continued professional development. Ahimsa is a trauma-informed organisation — the same</w:t>
      </w:r>
      <w:r>
        <w:t xml:space="preserve"> values that underpin our work with clients shape how we work with and support our staff.</w:t>
      </w:r>
    </w:p>
    <w:p w:rsidR="009C3B05" w:rsidRDefault="009C3B05">
      <w:pPr>
        <w:spacing w:before="60" w:after="60"/>
      </w:pPr>
    </w:p>
    <w:p w:rsidR="009C3B05" w:rsidRDefault="00446879">
      <w:pPr>
        <w:pBdr>
          <w:top w:val="single" w:sz="6" w:space="4" w:color="78A53C"/>
        </w:pBdr>
        <w:spacing w:before="400"/>
      </w:pPr>
      <w:proofErr w:type="gramStart"/>
      <w:r>
        <w:rPr>
          <w:color w:val="555555"/>
          <w:sz w:val="18"/>
          <w:szCs w:val="18"/>
        </w:rPr>
        <w:t>Ahimsa  |</w:t>
      </w:r>
      <w:proofErr w:type="gramEnd"/>
      <w:r>
        <w:rPr>
          <w:color w:val="555555"/>
          <w:sz w:val="18"/>
          <w:szCs w:val="18"/>
        </w:rPr>
        <w:t xml:space="preserve">  Supporting non-violent and loving relationships  |  Respect-accredited since 1997  |  enquiries@ahimsa.org.uk</w:t>
      </w:r>
    </w:p>
    <w:sectPr w:rsidR="009C3B05">
      <w:pgSz w:w="11906" w:h="16838"/>
      <w:pgMar w:top="1000" w:right="1200" w:bottom="1200" w:left="12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005D8F"/>
    <w:multiLevelType w:val="hybridMultilevel"/>
    <w:tmpl w:val="0C382554"/>
    <w:lvl w:ilvl="0" w:tplc="8CAE72E6">
      <w:start w:val="1"/>
      <w:numFmt w:val="bullet"/>
      <w:lvlText w:val="•"/>
      <w:lvlJc w:val="left"/>
      <w:pPr>
        <w:ind w:left="720" w:hanging="360"/>
      </w:pPr>
    </w:lvl>
    <w:lvl w:ilvl="1" w:tplc="54A24E2C">
      <w:numFmt w:val="decimal"/>
      <w:lvlText w:val=""/>
      <w:lvlJc w:val="left"/>
    </w:lvl>
    <w:lvl w:ilvl="2" w:tplc="829E73B2">
      <w:numFmt w:val="decimal"/>
      <w:lvlText w:val=""/>
      <w:lvlJc w:val="left"/>
    </w:lvl>
    <w:lvl w:ilvl="3" w:tplc="DA20B97C">
      <w:numFmt w:val="decimal"/>
      <w:lvlText w:val=""/>
      <w:lvlJc w:val="left"/>
    </w:lvl>
    <w:lvl w:ilvl="4" w:tplc="487AFA6A">
      <w:numFmt w:val="decimal"/>
      <w:lvlText w:val=""/>
      <w:lvlJc w:val="left"/>
    </w:lvl>
    <w:lvl w:ilvl="5" w:tplc="5A84D9D8">
      <w:numFmt w:val="decimal"/>
      <w:lvlText w:val=""/>
      <w:lvlJc w:val="left"/>
    </w:lvl>
    <w:lvl w:ilvl="6" w:tplc="CAB2AAB6">
      <w:numFmt w:val="decimal"/>
      <w:lvlText w:val=""/>
      <w:lvlJc w:val="left"/>
    </w:lvl>
    <w:lvl w:ilvl="7" w:tplc="BA8C26EE">
      <w:numFmt w:val="decimal"/>
      <w:lvlText w:val=""/>
      <w:lvlJc w:val="left"/>
    </w:lvl>
    <w:lvl w:ilvl="8" w:tplc="D4E04B32">
      <w:numFmt w:val="decimal"/>
      <w:lvlText w:val=""/>
      <w:lvlJc w:val="left"/>
    </w:lvl>
  </w:abstractNum>
  <w:abstractNum w:abstractNumId="1" w15:restartNumberingAfterBreak="0">
    <w:nsid w:val="2E733A9E"/>
    <w:multiLevelType w:val="hybridMultilevel"/>
    <w:tmpl w:val="16D0A618"/>
    <w:lvl w:ilvl="0" w:tplc="60447696">
      <w:start w:val="1"/>
      <w:numFmt w:val="bullet"/>
      <w:lvlText w:val="●"/>
      <w:lvlJc w:val="left"/>
      <w:pPr>
        <w:ind w:left="720" w:hanging="360"/>
      </w:pPr>
    </w:lvl>
    <w:lvl w:ilvl="1" w:tplc="B6824E1A">
      <w:start w:val="1"/>
      <w:numFmt w:val="bullet"/>
      <w:lvlText w:val="○"/>
      <w:lvlJc w:val="left"/>
      <w:pPr>
        <w:ind w:left="1440" w:hanging="360"/>
      </w:pPr>
    </w:lvl>
    <w:lvl w:ilvl="2" w:tplc="B6A8DDBC">
      <w:start w:val="1"/>
      <w:numFmt w:val="bullet"/>
      <w:lvlText w:val="■"/>
      <w:lvlJc w:val="left"/>
      <w:pPr>
        <w:ind w:left="2160" w:hanging="360"/>
      </w:pPr>
    </w:lvl>
    <w:lvl w:ilvl="3" w:tplc="14E4D632">
      <w:start w:val="1"/>
      <w:numFmt w:val="bullet"/>
      <w:lvlText w:val="●"/>
      <w:lvlJc w:val="left"/>
      <w:pPr>
        <w:ind w:left="2880" w:hanging="360"/>
      </w:pPr>
    </w:lvl>
    <w:lvl w:ilvl="4" w:tplc="C9B855A8">
      <w:start w:val="1"/>
      <w:numFmt w:val="bullet"/>
      <w:lvlText w:val="○"/>
      <w:lvlJc w:val="left"/>
      <w:pPr>
        <w:ind w:left="3600" w:hanging="360"/>
      </w:pPr>
    </w:lvl>
    <w:lvl w:ilvl="5" w:tplc="757CAB1E">
      <w:start w:val="1"/>
      <w:numFmt w:val="bullet"/>
      <w:lvlText w:val="■"/>
      <w:lvlJc w:val="left"/>
      <w:pPr>
        <w:ind w:left="4320" w:hanging="360"/>
      </w:pPr>
    </w:lvl>
    <w:lvl w:ilvl="6" w:tplc="1FE02D88">
      <w:start w:val="1"/>
      <w:numFmt w:val="bullet"/>
      <w:lvlText w:val="●"/>
      <w:lvlJc w:val="left"/>
      <w:pPr>
        <w:ind w:left="5040" w:hanging="360"/>
      </w:pPr>
    </w:lvl>
    <w:lvl w:ilvl="7" w:tplc="0A08578A">
      <w:start w:val="1"/>
      <w:numFmt w:val="bullet"/>
      <w:lvlText w:val="●"/>
      <w:lvlJc w:val="left"/>
      <w:pPr>
        <w:ind w:left="5760" w:hanging="360"/>
      </w:pPr>
    </w:lvl>
    <w:lvl w:ilvl="8" w:tplc="DA7C46CA">
      <w:start w:val="1"/>
      <w:numFmt w:val="bullet"/>
      <w:lvlText w:val="●"/>
      <w:lvlJc w:val="left"/>
      <w:pPr>
        <w:ind w:left="6480" w:hanging="36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B05"/>
    <w:rsid w:val="00446879"/>
    <w:rsid w:val="009C3B05"/>
    <w:rsid w:val="00FA6A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D6F9B"/>
  <w15:docId w15:val="{37222A5E-D128-4082-8D26-77A101EE3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1A1A1A"/>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446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quiries@ahimsa.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1376</Words>
  <Characters>7847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Lynn</cp:lastModifiedBy>
  <cp:revision>2</cp:revision>
  <dcterms:created xsi:type="dcterms:W3CDTF">2026-03-05T16:17:00Z</dcterms:created>
  <dcterms:modified xsi:type="dcterms:W3CDTF">2026-03-05T16:17:00Z</dcterms:modified>
</cp:coreProperties>
</file>